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采购需求</w:t>
      </w:r>
    </w:p>
    <w:p>
      <w:pPr>
        <w:jc w:val="center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（最终以磋商文件为准）</w:t>
      </w:r>
    </w:p>
    <w:p>
      <w:pPr>
        <w:spacing w:line="360" w:lineRule="auto"/>
        <w:ind w:firstLine="437"/>
        <w:rPr>
          <w:rFonts w:hint="eastAsia" w:ascii="宋体" w:hAnsi="宋体" w:eastAsia="宋体" w:cs="@仿宋_GB2312"/>
          <w:b/>
          <w:sz w:val="24"/>
          <w:szCs w:val="18"/>
        </w:rPr>
      </w:pPr>
      <w:bookmarkStart w:id="0" w:name="_GoBack"/>
      <w:bookmarkEnd w:id="0"/>
    </w:p>
    <w:p>
      <w:pPr>
        <w:spacing w:line="360" w:lineRule="auto"/>
        <w:ind w:firstLine="437"/>
        <w:rPr>
          <w:rFonts w:ascii="宋体" w:hAnsi="宋体" w:eastAsia="宋体" w:cs="@仿宋_GB2312"/>
          <w:b/>
          <w:sz w:val="24"/>
          <w:szCs w:val="18"/>
        </w:rPr>
      </w:pPr>
      <w:r>
        <w:rPr>
          <w:rFonts w:hint="eastAsia" w:ascii="宋体" w:hAnsi="宋体" w:eastAsia="宋体" w:cs="@仿宋_GB2312"/>
          <w:b/>
          <w:sz w:val="24"/>
          <w:szCs w:val="18"/>
        </w:rPr>
        <w:t>采购需求前附表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1653"/>
        <w:gridCol w:w="63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007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@仿宋_GB2312"/>
                <w:b/>
                <w:sz w:val="24"/>
                <w:szCs w:val="20"/>
              </w:rPr>
            </w:pPr>
            <w:r>
              <w:rPr>
                <w:rFonts w:hint="eastAsia" w:ascii="宋体" w:hAnsi="宋体" w:eastAsia="宋体" w:cs="@仿宋_GB2312"/>
                <w:b/>
                <w:sz w:val="24"/>
                <w:szCs w:val="20"/>
              </w:rPr>
              <w:t>序号</w:t>
            </w:r>
          </w:p>
        </w:tc>
        <w:tc>
          <w:tcPr>
            <w:tcW w:w="165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@仿宋_GB2312"/>
                <w:b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@仿宋_GB2312"/>
                <w:b/>
                <w:kern w:val="0"/>
                <w:sz w:val="24"/>
                <w:szCs w:val="28"/>
              </w:rPr>
              <w:t>条款名称</w:t>
            </w:r>
          </w:p>
        </w:tc>
        <w:tc>
          <w:tcPr>
            <w:tcW w:w="632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@仿宋_GB2312"/>
                <w:b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@仿宋_GB2312"/>
                <w:b/>
                <w:kern w:val="0"/>
                <w:sz w:val="24"/>
                <w:szCs w:val="28"/>
              </w:rPr>
              <w:t>内容、说明与要求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007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@仿宋_GB2312"/>
                <w:bCs/>
                <w:sz w:val="24"/>
                <w:szCs w:val="20"/>
              </w:rPr>
            </w:pPr>
            <w:r>
              <w:rPr>
                <w:rFonts w:hint="eastAsia" w:ascii="宋体" w:hAnsi="宋体" w:eastAsia="宋体" w:cs="@仿宋_GB2312"/>
                <w:bCs/>
                <w:sz w:val="24"/>
                <w:szCs w:val="20"/>
              </w:rPr>
              <w:t>1</w:t>
            </w:r>
          </w:p>
        </w:tc>
        <w:tc>
          <w:tcPr>
            <w:tcW w:w="165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@仿宋_GB2312"/>
                <w:bCs/>
                <w:color w:val="auto"/>
                <w:kern w:val="0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 w:cs="@仿宋_GB2312"/>
                <w:bCs/>
                <w:color w:val="auto"/>
                <w:kern w:val="0"/>
                <w:sz w:val="24"/>
                <w:szCs w:val="28"/>
                <w:highlight w:val="none"/>
              </w:rPr>
              <w:t>付款方式</w:t>
            </w:r>
          </w:p>
        </w:tc>
        <w:tc>
          <w:tcPr>
            <w:tcW w:w="6327" w:type="dxa"/>
            <w:noWrap w:val="0"/>
            <w:vAlign w:val="center"/>
          </w:tcPr>
          <w:p>
            <w:pPr>
              <w:spacing w:line="360" w:lineRule="auto"/>
              <w:rPr>
                <w:rFonts w:ascii="宋体" w:hAnsi="宋体" w:eastAsia="宋体" w:cs="@仿宋_GB2312"/>
                <w:color w:val="auto"/>
                <w:sz w:val="24"/>
                <w:szCs w:val="18"/>
                <w:highlight w:val="none"/>
              </w:rPr>
            </w:pPr>
            <w:r>
              <w:rPr>
                <w:rFonts w:ascii="宋体" w:hAnsi="宋体" w:eastAsia="宋体" w:cs="@仿宋_GB2312"/>
                <w:color w:val="auto"/>
                <w:sz w:val="24"/>
                <w:szCs w:val="18"/>
                <w:highlight w:val="none"/>
                <w:u w:val="none"/>
              </w:rPr>
              <w:t>本项目</w:t>
            </w:r>
            <w:r>
              <w:rPr>
                <w:rFonts w:hint="eastAsia" w:ascii="宋体" w:hAnsi="宋体" w:eastAsia="宋体" w:cs="@仿宋_GB2312"/>
                <w:color w:val="auto"/>
                <w:sz w:val="24"/>
                <w:szCs w:val="18"/>
                <w:highlight w:val="none"/>
                <w:u w:val="none"/>
              </w:rPr>
              <w:t>无预付款，提交</w:t>
            </w:r>
            <w:r>
              <w:rPr>
                <w:rFonts w:ascii="宋体" w:hAnsi="宋体" w:eastAsia="宋体" w:cs="@仿宋_GB2312"/>
                <w:color w:val="auto"/>
                <w:sz w:val="24"/>
                <w:szCs w:val="18"/>
                <w:highlight w:val="none"/>
                <w:u w:val="none"/>
              </w:rPr>
              <w:t>第三方查验</w:t>
            </w:r>
            <w:r>
              <w:rPr>
                <w:rFonts w:hint="eastAsia" w:ascii="宋体" w:hAnsi="宋体" w:eastAsia="宋体" w:cs="@仿宋_GB2312"/>
                <w:color w:val="auto"/>
                <w:sz w:val="24"/>
                <w:szCs w:val="18"/>
                <w:highlight w:val="none"/>
                <w:u w:val="none"/>
              </w:rPr>
              <w:t>检测报告</w:t>
            </w:r>
            <w:r>
              <w:rPr>
                <w:rFonts w:ascii="宋体" w:hAnsi="宋体" w:eastAsia="宋体" w:cs="@仿宋_GB2312"/>
                <w:color w:val="auto"/>
                <w:sz w:val="24"/>
                <w:szCs w:val="18"/>
                <w:highlight w:val="none"/>
                <w:u w:val="none"/>
              </w:rPr>
              <w:t>后两周内支付中标价的</w:t>
            </w:r>
            <w:r>
              <w:rPr>
                <w:rFonts w:hint="eastAsia" w:ascii="宋体" w:hAnsi="宋体" w:eastAsia="宋体" w:cs="@仿宋_GB2312"/>
                <w:color w:val="auto"/>
                <w:sz w:val="24"/>
                <w:szCs w:val="18"/>
                <w:highlight w:val="none"/>
                <w:u w:val="none"/>
              </w:rPr>
              <w:t>6</w:t>
            </w:r>
            <w:r>
              <w:rPr>
                <w:rFonts w:ascii="宋体" w:hAnsi="宋体" w:eastAsia="宋体" w:cs="@仿宋_GB2312"/>
                <w:color w:val="auto"/>
                <w:sz w:val="24"/>
                <w:szCs w:val="18"/>
                <w:highlight w:val="none"/>
                <w:u w:val="none"/>
              </w:rPr>
              <w:t>0%</w:t>
            </w:r>
            <w:r>
              <w:rPr>
                <w:rFonts w:hint="eastAsia" w:ascii="宋体" w:hAnsi="宋体" w:eastAsia="宋体" w:cs="@仿宋_GB2312"/>
                <w:color w:val="auto"/>
                <w:sz w:val="24"/>
                <w:szCs w:val="18"/>
                <w:highlight w:val="none"/>
                <w:u w:val="none"/>
              </w:rPr>
              <w:t>，通过市房屋安全鉴定中心审核后，</w:t>
            </w:r>
            <w:r>
              <w:rPr>
                <w:rFonts w:ascii="宋体" w:hAnsi="宋体" w:eastAsia="宋体" w:cs="@仿宋_GB2312"/>
                <w:color w:val="auto"/>
                <w:sz w:val="24"/>
                <w:szCs w:val="18"/>
                <w:highlight w:val="none"/>
                <w:u w:val="none"/>
              </w:rPr>
              <w:t>一个月内支付中标价的</w:t>
            </w:r>
            <w:r>
              <w:rPr>
                <w:rFonts w:hint="eastAsia" w:ascii="宋体" w:hAnsi="宋体" w:eastAsia="宋体" w:cs="@仿宋_GB2312"/>
                <w:color w:val="auto"/>
                <w:sz w:val="24"/>
                <w:szCs w:val="18"/>
                <w:highlight w:val="none"/>
                <w:u w:val="none"/>
              </w:rPr>
              <w:t>4</w:t>
            </w:r>
            <w:r>
              <w:rPr>
                <w:rFonts w:ascii="宋体" w:hAnsi="宋体" w:eastAsia="宋体" w:cs="@仿宋_GB2312"/>
                <w:color w:val="auto"/>
                <w:sz w:val="24"/>
                <w:szCs w:val="18"/>
                <w:highlight w:val="none"/>
                <w:u w:val="none"/>
              </w:rPr>
              <w:t>0%</w:t>
            </w:r>
            <w:r>
              <w:rPr>
                <w:rFonts w:hint="eastAsia" w:ascii="宋体" w:hAnsi="宋体" w:eastAsia="宋体" w:cs="@仿宋_GB2312"/>
                <w:color w:val="auto"/>
                <w:sz w:val="24"/>
                <w:szCs w:val="18"/>
                <w:highlight w:val="none"/>
                <w:u w:val="none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007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@仿宋_GB2312"/>
                <w:bCs/>
                <w:sz w:val="24"/>
                <w:szCs w:val="20"/>
              </w:rPr>
            </w:pPr>
            <w:r>
              <w:rPr>
                <w:rFonts w:hint="eastAsia" w:ascii="宋体" w:hAnsi="宋体" w:eastAsia="宋体" w:cs="@仿宋_GB2312"/>
                <w:bCs/>
                <w:sz w:val="24"/>
                <w:szCs w:val="20"/>
              </w:rPr>
              <w:t>2</w:t>
            </w:r>
          </w:p>
        </w:tc>
        <w:tc>
          <w:tcPr>
            <w:tcW w:w="165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@仿宋_GB2312"/>
                <w:bCs/>
                <w:color w:val="auto"/>
                <w:kern w:val="0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 w:cs="@仿宋_GB2312"/>
                <w:bCs/>
                <w:color w:val="auto"/>
                <w:kern w:val="0"/>
                <w:sz w:val="24"/>
                <w:szCs w:val="28"/>
                <w:highlight w:val="none"/>
              </w:rPr>
              <w:t>服务地点</w:t>
            </w:r>
          </w:p>
        </w:tc>
        <w:tc>
          <w:tcPr>
            <w:tcW w:w="6327" w:type="dxa"/>
            <w:noWrap w:val="0"/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bCs/>
                <w:color w:val="auto"/>
                <w:kern w:val="0"/>
                <w:sz w:val="24"/>
                <w:szCs w:val="28"/>
                <w:highlight w:val="none"/>
              </w:rPr>
            </w:pPr>
            <w:r>
              <w:rPr>
                <w:rFonts w:ascii="宋体" w:hAnsi="宋体" w:eastAsia="宋体" w:cs="Times New Roman"/>
                <w:bCs/>
                <w:color w:val="auto"/>
                <w:kern w:val="0"/>
                <w:sz w:val="24"/>
                <w:szCs w:val="28"/>
                <w:highlight w:val="none"/>
              </w:rPr>
              <w:t>合肥市庐阳区</w:t>
            </w:r>
            <w:r>
              <w:rPr>
                <w:rFonts w:hint="eastAsia" w:ascii="宋体" w:hAnsi="宋体" w:eastAsia="宋体" w:cs="Times New Roman"/>
                <w:bCs/>
                <w:color w:val="auto"/>
                <w:kern w:val="0"/>
                <w:sz w:val="24"/>
                <w:szCs w:val="28"/>
                <w:highlight w:val="none"/>
              </w:rPr>
              <w:t>荣城北苑小区，具体以业主单位指定为准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007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@仿宋_GB2312"/>
                <w:bCs/>
                <w:sz w:val="24"/>
                <w:szCs w:val="20"/>
              </w:rPr>
            </w:pPr>
            <w:r>
              <w:rPr>
                <w:rFonts w:hint="eastAsia" w:ascii="宋体" w:hAnsi="宋体" w:eastAsia="宋体" w:cs="@仿宋_GB2312"/>
                <w:bCs/>
                <w:sz w:val="24"/>
                <w:szCs w:val="20"/>
              </w:rPr>
              <w:t>3</w:t>
            </w:r>
          </w:p>
        </w:tc>
        <w:tc>
          <w:tcPr>
            <w:tcW w:w="165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@仿宋_GB2312"/>
                <w:bCs/>
                <w:color w:val="auto"/>
                <w:kern w:val="0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 w:cs="@仿宋_GB2312"/>
                <w:bCs/>
                <w:color w:val="auto"/>
                <w:kern w:val="0"/>
                <w:sz w:val="24"/>
                <w:szCs w:val="28"/>
                <w:highlight w:val="none"/>
              </w:rPr>
              <w:t>服务期限</w:t>
            </w:r>
          </w:p>
        </w:tc>
        <w:tc>
          <w:tcPr>
            <w:tcW w:w="6327" w:type="dxa"/>
            <w:noWrap w:val="0"/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bCs/>
                <w:color w:val="auto"/>
                <w:kern w:val="0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 w:cs="@仿宋_GB2312"/>
                <w:color w:val="auto"/>
                <w:sz w:val="24"/>
                <w:szCs w:val="18"/>
                <w:highlight w:val="none"/>
              </w:rPr>
              <w:t>合同签订后</w:t>
            </w:r>
            <w:r>
              <w:rPr>
                <w:rFonts w:hint="eastAsia" w:ascii="宋体" w:hAnsi="宋体" w:eastAsia="宋体" w:cs="@仿宋_GB2312"/>
                <w:color w:val="auto"/>
                <w:sz w:val="24"/>
                <w:szCs w:val="18"/>
                <w:highlight w:val="none"/>
                <w:u w:val="single"/>
              </w:rPr>
              <w:t xml:space="preserve">  </w:t>
            </w:r>
            <w:r>
              <w:rPr>
                <w:rFonts w:ascii="宋体" w:hAnsi="宋体" w:eastAsia="宋体" w:cs="@仿宋_GB2312"/>
                <w:color w:val="auto"/>
                <w:sz w:val="24"/>
                <w:szCs w:val="18"/>
                <w:highlight w:val="none"/>
                <w:u w:val="single"/>
              </w:rPr>
              <w:t>60</w:t>
            </w:r>
            <w:r>
              <w:rPr>
                <w:rFonts w:hint="eastAsia" w:ascii="宋体" w:hAnsi="宋体" w:eastAsia="宋体" w:cs="@仿宋_GB2312"/>
                <w:color w:val="auto"/>
                <w:sz w:val="24"/>
                <w:szCs w:val="18"/>
                <w:highlight w:val="none"/>
                <w:u w:val="single"/>
              </w:rPr>
              <w:t xml:space="preserve"> </w:t>
            </w:r>
            <w:r>
              <w:rPr>
                <w:rFonts w:hint="eastAsia" w:ascii="宋体" w:hAnsi="宋体" w:eastAsia="宋体" w:cs="@仿宋_GB2312"/>
                <w:color w:val="auto"/>
                <w:sz w:val="24"/>
                <w:szCs w:val="18"/>
                <w:highlight w:val="none"/>
              </w:rPr>
              <w:t>日内完成</w:t>
            </w:r>
            <w:r>
              <w:rPr>
                <w:rFonts w:ascii="宋体" w:hAnsi="宋体" w:eastAsia="宋体" w:cs="@仿宋_GB2312"/>
                <w:color w:val="auto"/>
                <w:sz w:val="24"/>
                <w:szCs w:val="18"/>
                <w:highlight w:val="none"/>
              </w:rPr>
              <w:t>第三方查验检测</w:t>
            </w:r>
            <w:r>
              <w:rPr>
                <w:rFonts w:hint="eastAsia" w:ascii="宋体" w:hAnsi="宋体" w:eastAsia="宋体" w:cs="@仿宋_GB2312"/>
                <w:color w:val="auto"/>
                <w:sz w:val="24"/>
                <w:szCs w:val="18"/>
                <w:highlight w:val="none"/>
              </w:rPr>
              <w:t>工作</w:t>
            </w:r>
            <w:r>
              <w:rPr>
                <w:rFonts w:ascii="宋体" w:hAnsi="宋体" w:eastAsia="宋体" w:cs="@仿宋_GB2312"/>
                <w:color w:val="auto"/>
                <w:sz w:val="24"/>
                <w:szCs w:val="18"/>
                <w:highlight w:val="none"/>
              </w:rPr>
              <w:t>并提交查验检测报告</w:t>
            </w:r>
            <w:r>
              <w:rPr>
                <w:rFonts w:hint="eastAsia" w:ascii="宋体" w:hAnsi="宋体" w:eastAsia="宋体" w:cs="@仿宋_GB2312"/>
                <w:color w:val="auto"/>
                <w:sz w:val="24"/>
                <w:szCs w:val="18"/>
                <w:highlight w:val="none"/>
              </w:rPr>
              <w:t>。</w:t>
            </w:r>
          </w:p>
        </w:tc>
      </w:tr>
    </w:tbl>
    <w:p>
      <w:pPr>
        <w:spacing w:line="360" w:lineRule="auto"/>
        <w:rPr>
          <w:rFonts w:hint="eastAsia" w:ascii="Times New Roman" w:hAnsi="Times New Roman" w:eastAsia="黑体" w:cs="Times New Roman"/>
          <w:kern w:val="0"/>
          <w:sz w:val="32"/>
          <w:szCs w:val="32"/>
        </w:rPr>
      </w:pPr>
    </w:p>
    <w:p>
      <w:pPr>
        <w:spacing w:line="360" w:lineRule="auto"/>
        <w:rPr>
          <w:rFonts w:ascii="宋体" w:hAnsi="宋体" w:eastAsia="宋体" w:cs="Times New Roman"/>
          <w:b/>
          <w:sz w:val="24"/>
          <w:szCs w:val="22"/>
        </w:rPr>
      </w:pPr>
      <w:r>
        <w:rPr>
          <w:rFonts w:hint="eastAsia" w:ascii="宋体" w:hAnsi="宋体" w:eastAsia="宋体" w:cs="Times New Roman"/>
          <w:b/>
          <w:sz w:val="28"/>
          <w:szCs w:val="22"/>
        </w:rPr>
        <w:t>一、项目概况</w:t>
      </w:r>
    </w:p>
    <w:p>
      <w:pPr>
        <w:autoSpaceDE w:val="0"/>
        <w:autoSpaceDN w:val="0"/>
        <w:adjustRightInd w:val="0"/>
        <w:spacing w:line="360" w:lineRule="auto"/>
        <w:ind w:firstLine="436" w:firstLineChars="182"/>
        <w:jc w:val="left"/>
        <w:rPr>
          <w:rFonts w:hint="eastAsia" w:ascii="宋体" w:hAnsi="宋体" w:eastAsia="宋体" w:cs="Times New Roman"/>
          <w:color w:val="FF0000"/>
          <w:sz w:val="24"/>
          <w:szCs w:val="18"/>
        </w:rPr>
      </w:pPr>
      <w:r>
        <w:rPr>
          <w:rFonts w:hint="eastAsia" w:ascii="宋体" w:hAnsi="宋体" w:eastAsia="宋体" w:cs="Times New Roman"/>
          <w:sz w:val="24"/>
          <w:szCs w:val="22"/>
        </w:rPr>
        <w:t>根据省、市、区相关文件要求，拟对合肥市</w:t>
      </w:r>
      <w:r>
        <w:rPr>
          <w:rFonts w:hint="eastAsia" w:ascii="宋体" w:hAnsi="宋体" w:eastAsia="宋体" w:cs="Times New Roman"/>
          <w:color w:val="000000"/>
          <w:sz w:val="24"/>
          <w:szCs w:val="18"/>
        </w:rPr>
        <w:t>荣城北苑安置房第三方查验检测</w:t>
      </w:r>
    </w:p>
    <w:p>
      <w:pPr>
        <w:spacing w:line="360" w:lineRule="auto"/>
        <w:rPr>
          <w:rFonts w:ascii="宋体" w:hAnsi="宋体" w:eastAsia="宋体" w:cs="Times New Roman"/>
          <w:sz w:val="24"/>
          <w:szCs w:val="22"/>
          <w:highlight w:val="none"/>
        </w:rPr>
      </w:pPr>
      <w:r>
        <w:rPr>
          <w:rFonts w:hint="eastAsia" w:ascii="宋体" w:hAnsi="宋体" w:eastAsia="宋体" w:cs="Times New Roman"/>
          <w:sz w:val="24"/>
          <w:szCs w:val="22"/>
        </w:rPr>
        <w:t>工作，依据工作成果确定消除各类房屋安全隐患的工作方案，汇总回迁安置小区房屋质量</w:t>
      </w:r>
      <w:r>
        <w:rPr>
          <w:rFonts w:hint="eastAsia" w:ascii="宋体" w:hAnsi="宋体" w:eastAsia="宋体" w:cs="Times New Roman"/>
          <w:sz w:val="24"/>
          <w:szCs w:val="22"/>
          <w:highlight w:val="none"/>
        </w:rPr>
        <w:t>安全现状上报房屋鉴定主管部门审定。本次安全排查小区概况：</w:t>
      </w:r>
      <w:r>
        <w:rPr>
          <w:rFonts w:ascii="宋体" w:hAnsi="宋体" w:eastAsia="宋体" w:cs="Times New Roman"/>
          <w:sz w:val="24"/>
          <w:szCs w:val="22"/>
          <w:highlight w:val="none"/>
        </w:rPr>
        <w:t>荣城北苑位于庐阳经开区连水路与丽水路交口东南角，为庐阳经开区第三个拆迁复建点。项目占地面积约360亩，共建51栋单体，5428套住房，总建筑面积54.29万平米</w:t>
      </w:r>
      <w:r>
        <w:rPr>
          <w:rFonts w:hint="eastAsia" w:ascii="宋体" w:hAnsi="宋体" w:eastAsia="宋体" w:cs="Times New Roman"/>
          <w:sz w:val="24"/>
          <w:szCs w:val="22"/>
          <w:highlight w:val="none"/>
          <w:lang w:eastAsia="zh-CN"/>
        </w:rPr>
        <w:t>（</w:t>
      </w:r>
      <w:r>
        <w:rPr>
          <w:rFonts w:hint="eastAsia" w:ascii="宋体" w:hAnsi="宋体" w:eastAsia="宋体" w:cs="Times New Roman"/>
          <w:sz w:val="24"/>
          <w:szCs w:val="22"/>
          <w:highlight w:val="none"/>
          <w:lang w:val="en-US" w:eastAsia="zh-CN"/>
        </w:rPr>
        <w:t>其中廉租房建筑面积约4万平方米</w:t>
      </w:r>
      <w:r>
        <w:rPr>
          <w:rFonts w:hint="eastAsia" w:ascii="宋体" w:hAnsi="宋体" w:eastAsia="宋体" w:cs="Times New Roman"/>
          <w:sz w:val="24"/>
          <w:szCs w:val="22"/>
          <w:highlight w:val="none"/>
          <w:lang w:eastAsia="zh-CN"/>
        </w:rPr>
        <w:t>）</w:t>
      </w:r>
      <w:r>
        <w:rPr>
          <w:rFonts w:ascii="宋体" w:hAnsi="宋体" w:eastAsia="宋体" w:cs="Times New Roman"/>
          <w:sz w:val="24"/>
          <w:szCs w:val="22"/>
          <w:highlight w:val="none"/>
        </w:rPr>
        <w:t>，其中，住宅面积47.1万平米，商业面积2.37万平米，地下车库面积3.74万平米，其它社区用房、幼儿园、活动中心、卫生服务站等配套面积合计1.08万平米。项目开工于2009年，共分八期建设，于2016年初全部建成。</w:t>
      </w:r>
    </w:p>
    <w:p>
      <w:pPr>
        <w:spacing w:line="360" w:lineRule="auto"/>
        <w:rPr>
          <w:rFonts w:ascii="宋体" w:hAnsi="宋体" w:eastAsia="宋体" w:cs="Times New Roman"/>
          <w:b/>
          <w:sz w:val="28"/>
          <w:szCs w:val="22"/>
          <w:highlight w:val="none"/>
        </w:rPr>
      </w:pPr>
      <w:r>
        <w:rPr>
          <w:rFonts w:hint="eastAsia" w:ascii="宋体" w:hAnsi="宋体" w:eastAsia="宋体" w:cs="Times New Roman"/>
          <w:b/>
          <w:sz w:val="28"/>
          <w:szCs w:val="22"/>
          <w:highlight w:val="none"/>
        </w:rPr>
        <w:t>二、服务需求</w:t>
      </w:r>
    </w:p>
    <w:p>
      <w:pPr>
        <w:spacing w:line="360" w:lineRule="auto"/>
        <w:ind w:firstLine="352" w:firstLineChars="147"/>
        <w:rPr>
          <w:rFonts w:ascii="宋体" w:hAnsi="宋体" w:eastAsia="宋体" w:cs="Times New Roman"/>
          <w:sz w:val="24"/>
          <w:szCs w:val="22"/>
          <w:highlight w:val="none"/>
        </w:rPr>
      </w:pPr>
      <w:r>
        <w:rPr>
          <w:rFonts w:hint="eastAsia" w:ascii="宋体" w:hAnsi="宋体" w:eastAsia="宋体" w:cs="Times New Roman"/>
          <w:sz w:val="24"/>
          <w:szCs w:val="22"/>
          <w:highlight w:val="none"/>
        </w:rPr>
        <w:t>（一）安全排查范围</w:t>
      </w:r>
    </w:p>
    <w:p>
      <w:pPr>
        <w:spacing w:line="360" w:lineRule="auto"/>
        <w:rPr>
          <w:rFonts w:hint="eastAsia" w:ascii="宋体" w:hAnsi="宋体" w:eastAsia="宋体" w:cs="Times New Roman"/>
          <w:color w:val="C00000"/>
          <w:sz w:val="24"/>
          <w:szCs w:val="22"/>
          <w:highlight w:val="none"/>
          <w:lang w:eastAsia="zh-CN"/>
        </w:rPr>
      </w:pPr>
      <w:r>
        <w:rPr>
          <w:rFonts w:hint="eastAsia" w:ascii="宋体" w:hAnsi="宋体" w:eastAsia="宋体" w:cs="Times New Roman"/>
          <w:color w:val="000000"/>
          <w:sz w:val="24"/>
          <w:szCs w:val="18"/>
          <w:highlight w:val="none"/>
        </w:rPr>
        <w:t>荣城北苑安置房房屋</w:t>
      </w:r>
      <w:r>
        <w:rPr>
          <w:rFonts w:hint="eastAsia" w:ascii="宋体" w:hAnsi="宋体" w:eastAsia="宋体" w:cs="Times New Roman"/>
          <w:color w:val="000000"/>
          <w:sz w:val="24"/>
          <w:szCs w:val="18"/>
          <w:highlight w:val="none"/>
          <w:lang w:val="en-US" w:eastAsia="zh-CN"/>
        </w:rPr>
        <w:t>需</w:t>
      </w:r>
      <w:r>
        <w:rPr>
          <w:rFonts w:hint="eastAsia" w:ascii="宋体" w:hAnsi="宋体" w:eastAsia="宋体" w:cs="Times New Roman"/>
          <w:color w:val="000000"/>
          <w:sz w:val="24"/>
          <w:szCs w:val="18"/>
          <w:highlight w:val="none"/>
        </w:rPr>
        <w:t>查验检测</w:t>
      </w:r>
      <w:r>
        <w:rPr>
          <w:rFonts w:hint="eastAsia" w:ascii="宋体" w:hAnsi="宋体" w:eastAsia="宋体" w:cs="Times New Roman"/>
          <w:sz w:val="24"/>
          <w:szCs w:val="22"/>
          <w:highlight w:val="none"/>
        </w:rPr>
        <w:t>建筑面积</w:t>
      </w:r>
      <w:r>
        <w:rPr>
          <w:rFonts w:hint="eastAsia" w:ascii="宋体" w:hAnsi="宋体" w:eastAsia="宋体" w:cs="Times New Roman"/>
          <w:sz w:val="24"/>
          <w:szCs w:val="22"/>
          <w:highlight w:val="none"/>
          <w:lang w:val="en-US" w:eastAsia="zh-CN"/>
        </w:rPr>
        <w:t>约</w:t>
      </w:r>
      <w:r>
        <w:rPr>
          <w:rFonts w:hint="eastAsia" w:ascii="宋体" w:hAnsi="宋体" w:eastAsia="宋体" w:cs="Times New Roman"/>
          <w:sz w:val="24"/>
          <w:szCs w:val="22"/>
          <w:highlight w:val="none"/>
        </w:rPr>
        <w:t>51万平米</w:t>
      </w:r>
      <w:r>
        <w:rPr>
          <w:rFonts w:hint="eastAsia" w:ascii="宋体" w:hAnsi="宋体" w:eastAsia="宋体" w:cs="Times New Roman"/>
          <w:sz w:val="24"/>
          <w:szCs w:val="22"/>
          <w:highlight w:val="none"/>
          <w:lang w:eastAsia="zh-CN"/>
        </w:rPr>
        <w:t>。（</w:t>
      </w:r>
      <w:r>
        <w:rPr>
          <w:rFonts w:hint="eastAsia" w:ascii="宋体" w:hAnsi="宋体" w:eastAsia="宋体" w:cs="Times New Roman"/>
          <w:sz w:val="24"/>
          <w:szCs w:val="22"/>
          <w:highlight w:val="none"/>
          <w:lang w:val="en-US" w:eastAsia="zh-CN"/>
        </w:rPr>
        <w:t>廉租房面积除外</w:t>
      </w:r>
      <w:r>
        <w:rPr>
          <w:rFonts w:hint="eastAsia" w:ascii="宋体" w:hAnsi="宋体" w:eastAsia="宋体" w:cs="Times New Roman"/>
          <w:sz w:val="24"/>
          <w:szCs w:val="22"/>
          <w:highlight w:val="none"/>
          <w:lang w:eastAsia="zh-CN"/>
        </w:rPr>
        <w:t>）</w:t>
      </w:r>
    </w:p>
    <w:p>
      <w:pPr>
        <w:spacing w:line="360" w:lineRule="auto"/>
        <w:ind w:firstLine="360" w:firstLineChars="150"/>
        <w:rPr>
          <w:rFonts w:ascii="宋体" w:hAnsi="宋体" w:eastAsia="宋体" w:cs="Times New Roman"/>
          <w:sz w:val="24"/>
          <w:szCs w:val="22"/>
          <w:highlight w:val="none"/>
        </w:rPr>
      </w:pPr>
      <w:r>
        <w:rPr>
          <w:rFonts w:hint="eastAsia" w:ascii="宋体" w:hAnsi="宋体" w:eastAsia="宋体" w:cs="Times New Roman"/>
          <w:sz w:val="24"/>
          <w:szCs w:val="22"/>
          <w:highlight w:val="none"/>
        </w:rPr>
        <w:t>（二）安全复查内容</w:t>
      </w:r>
    </w:p>
    <w:p>
      <w:pPr>
        <w:spacing w:line="360" w:lineRule="auto"/>
        <w:ind w:firstLine="470" w:firstLineChars="196"/>
        <w:rPr>
          <w:rFonts w:ascii="宋体" w:hAnsi="宋体" w:eastAsia="宋体" w:cs="Times New Roman"/>
          <w:sz w:val="24"/>
          <w:szCs w:val="22"/>
        </w:rPr>
      </w:pPr>
      <w:r>
        <w:rPr>
          <w:rFonts w:hint="eastAsia" w:ascii="宋体" w:hAnsi="宋体" w:eastAsia="宋体" w:cs="Times New Roman"/>
          <w:sz w:val="24"/>
          <w:szCs w:val="22"/>
        </w:rPr>
        <w:t>1. 房屋结构安全情况。重点是承重墙体、梁、柱、板等部位有无影响结构安全的裂缝，地基基础是否有沉降变形，主体结构是否有倾斜，以及外墙饰面、悬挑结构、女儿墙有无脱落坠落危险等。</w:t>
      </w:r>
    </w:p>
    <w:p>
      <w:pPr>
        <w:spacing w:line="360" w:lineRule="auto"/>
        <w:ind w:firstLine="470" w:firstLineChars="196"/>
        <w:rPr>
          <w:rFonts w:ascii="宋体" w:hAnsi="宋体" w:eastAsia="宋体" w:cs="Times New Roman"/>
          <w:sz w:val="24"/>
          <w:szCs w:val="22"/>
        </w:rPr>
      </w:pPr>
      <w:r>
        <w:rPr>
          <w:rFonts w:hint="eastAsia" w:ascii="宋体" w:hAnsi="宋体" w:eastAsia="宋体" w:cs="Times New Roman"/>
          <w:sz w:val="24"/>
          <w:szCs w:val="22"/>
        </w:rPr>
        <w:t>2. 建筑物周边安全情况。重点是周边场地、山体有无沉降、开裂现象，房屋及周边永久性建筑边坡排水系统是否正常。房屋建筑是否处在滑坡、崩塌、地面沉陷、地裂缝、山洪、泥石流等地质灾害影响区域。</w:t>
      </w:r>
    </w:p>
    <w:p>
      <w:pPr>
        <w:spacing w:line="360" w:lineRule="auto"/>
        <w:ind w:firstLine="470" w:firstLineChars="196"/>
        <w:rPr>
          <w:rFonts w:ascii="宋体" w:hAnsi="宋体" w:eastAsia="宋体" w:cs="Times New Roman"/>
          <w:sz w:val="24"/>
          <w:szCs w:val="22"/>
        </w:rPr>
      </w:pPr>
      <w:r>
        <w:rPr>
          <w:rFonts w:hint="eastAsia" w:ascii="宋体" w:hAnsi="宋体" w:eastAsia="宋体" w:cs="Times New Roman"/>
          <w:sz w:val="24"/>
          <w:szCs w:val="22"/>
        </w:rPr>
        <w:t>3. 房屋使用安全情况。重点是装饰装修是否存在损坏主体结构、改变使用功能、增加房屋荷载以及违规搭建加层等情况。永久建筑边坡坡顶、坡脚是否有危及其安全的情况。</w:t>
      </w:r>
    </w:p>
    <w:p>
      <w:pPr>
        <w:spacing w:line="360" w:lineRule="auto"/>
        <w:ind w:firstLine="470" w:firstLineChars="196"/>
        <w:rPr>
          <w:rFonts w:ascii="宋体" w:hAnsi="宋体" w:eastAsia="宋体" w:cs="Times New Roman"/>
          <w:sz w:val="24"/>
          <w:szCs w:val="22"/>
        </w:rPr>
      </w:pPr>
      <w:r>
        <w:rPr>
          <w:rFonts w:hint="eastAsia" w:ascii="宋体" w:hAnsi="宋体" w:eastAsia="宋体" w:cs="Times New Roman"/>
          <w:sz w:val="24"/>
          <w:szCs w:val="22"/>
        </w:rPr>
        <w:t>4</w:t>
      </w:r>
      <w:r>
        <w:rPr>
          <w:rFonts w:ascii="宋体" w:hAnsi="宋体" w:eastAsia="宋体" w:cs="Times New Roman"/>
          <w:sz w:val="24"/>
          <w:szCs w:val="22"/>
        </w:rPr>
        <w:t xml:space="preserve">. </w:t>
      </w:r>
      <w:r>
        <w:rPr>
          <w:rFonts w:hint="eastAsia" w:ascii="宋体" w:hAnsi="宋体" w:eastAsia="宋体" w:cs="Times New Roman"/>
          <w:sz w:val="24"/>
          <w:szCs w:val="22"/>
        </w:rPr>
        <w:t>房屋使用功能现状。重点是对房屋使用上功能存在的问题隐患予以排查并提出整改建议，有效排除安全隐患，保障居民生活环境。</w:t>
      </w:r>
    </w:p>
    <w:p>
      <w:pPr>
        <w:spacing w:line="360" w:lineRule="auto"/>
        <w:ind w:firstLine="352" w:firstLineChars="147"/>
        <w:rPr>
          <w:rFonts w:ascii="宋体" w:hAnsi="宋体" w:eastAsia="宋体" w:cs="Times New Roman"/>
          <w:sz w:val="24"/>
          <w:szCs w:val="22"/>
        </w:rPr>
      </w:pPr>
      <w:r>
        <w:rPr>
          <w:rFonts w:hint="eastAsia" w:ascii="宋体" w:hAnsi="宋体" w:eastAsia="宋体" w:cs="Times New Roman"/>
          <w:sz w:val="24"/>
          <w:szCs w:val="22"/>
        </w:rPr>
        <w:t>（三）服务内容及要求</w:t>
      </w:r>
    </w:p>
    <w:p>
      <w:pPr>
        <w:spacing w:line="360" w:lineRule="auto"/>
        <w:ind w:firstLine="470" w:firstLineChars="196"/>
        <w:rPr>
          <w:rFonts w:ascii="宋体" w:hAnsi="宋体" w:eastAsia="宋体" w:cs="Times New Roman"/>
          <w:sz w:val="24"/>
          <w:szCs w:val="22"/>
        </w:rPr>
      </w:pPr>
      <w:r>
        <w:rPr>
          <w:rFonts w:hint="eastAsia" w:ascii="宋体" w:hAnsi="宋体" w:eastAsia="宋体" w:cs="Times New Roman"/>
          <w:sz w:val="24"/>
          <w:szCs w:val="22"/>
        </w:rPr>
        <w:t>1. 通过回迁安置小区房屋质量安全排查，完成</w:t>
      </w:r>
      <w:r>
        <w:rPr>
          <w:rFonts w:hint="eastAsia" w:ascii="宋体" w:hAnsi="宋体" w:eastAsia="宋体" w:cs="Times New Roman"/>
          <w:color w:val="000000"/>
          <w:sz w:val="24"/>
          <w:szCs w:val="18"/>
        </w:rPr>
        <w:t>荣城北苑安置房</w:t>
      </w:r>
      <w:r>
        <w:rPr>
          <w:rFonts w:hint="eastAsia" w:ascii="宋体" w:hAnsi="宋体" w:eastAsia="宋体" w:cs="Times New Roman"/>
          <w:sz w:val="24"/>
          <w:szCs w:val="22"/>
        </w:rPr>
        <w:t>房屋建档工作并做到“一楼一档”。</w:t>
      </w:r>
    </w:p>
    <w:p>
      <w:pPr>
        <w:spacing w:line="360" w:lineRule="auto"/>
        <w:ind w:firstLine="470" w:firstLineChars="196"/>
        <w:rPr>
          <w:rFonts w:ascii="宋体" w:hAnsi="宋体" w:eastAsia="宋体" w:cs="Times New Roman"/>
          <w:sz w:val="24"/>
          <w:szCs w:val="22"/>
        </w:rPr>
      </w:pPr>
      <w:r>
        <w:rPr>
          <w:rFonts w:hint="eastAsia" w:ascii="宋体" w:hAnsi="宋体" w:eastAsia="宋体" w:cs="Times New Roman"/>
          <w:sz w:val="24"/>
          <w:szCs w:val="22"/>
        </w:rPr>
        <w:t>2. 提供</w:t>
      </w:r>
      <w:r>
        <w:rPr>
          <w:rFonts w:hint="eastAsia" w:ascii="宋体" w:hAnsi="宋体" w:eastAsia="宋体" w:cs="Times New Roman"/>
          <w:color w:val="000000"/>
          <w:sz w:val="24"/>
          <w:szCs w:val="18"/>
        </w:rPr>
        <w:t>荣城北苑安置房</w:t>
      </w:r>
      <w:r>
        <w:rPr>
          <w:rFonts w:hint="eastAsia" w:ascii="宋体" w:hAnsi="宋体" w:eastAsia="宋体" w:cs="Times New Roman"/>
          <w:sz w:val="24"/>
          <w:szCs w:val="22"/>
        </w:rPr>
        <w:t>安全排查成果及报告书。</w:t>
      </w:r>
    </w:p>
    <w:p>
      <w:pPr>
        <w:spacing w:line="360" w:lineRule="auto"/>
        <w:ind w:firstLine="470" w:firstLineChars="196"/>
        <w:rPr>
          <w:rFonts w:hint="default"/>
          <w:lang w:val="en-US" w:eastAsia="zh-CN"/>
        </w:rPr>
      </w:pPr>
      <w:r>
        <w:rPr>
          <w:rFonts w:hint="eastAsia" w:ascii="宋体" w:hAnsi="宋体" w:eastAsia="宋体" w:cs="Times New Roman"/>
          <w:sz w:val="24"/>
          <w:szCs w:val="22"/>
        </w:rPr>
        <w:t>3. 提交房屋安全鉴定中心审核，并对审核不符合要求的报告及时修正。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3C22BC"/>
    <w:rsid w:val="3E3C2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qFormat/>
    <w:uiPriority w:val="0"/>
    <w:pPr>
      <w:widowControl w:val="0"/>
      <w:spacing w:line="360" w:lineRule="auto"/>
      <w:ind w:left="210" w:leftChars="100" w:firstLine="420" w:firstLineChars="200"/>
      <w:jc w:val="both"/>
    </w:pPr>
    <w:rPr>
      <w:rFonts w:ascii="宋体" w:hAnsi="宋体" w:eastAsia="@仿宋_GB2312" w:cs="@仿宋_GB2312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2020-08-12T07:31:00Z</dcterms:created>
  <dc:creator>Administrator</dc:creator>
  <cp:lastModifiedBy>Administrator</cp:lastModifiedBy>
  <dcterms:modified xsi:type="dcterms:W3CDTF">2020-08-12T07:32:14Z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