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58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18"/>
        <w:gridCol w:w="267"/>
        <w:gridCol w:w="1010"/>
        <w:gridCol w:w="4820"/>
        <w:gridCol w:w="1559"/>
        <w:gridCol w:w="1559"/>
        <w:gridCol w:w="1418"/>
        <w:gridCol w:w="1417"/>
        <w:gridCol w:w="141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98" w:hRule="exact"/>
        </w:trPr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drawing>
                <wp:inline distT="0" distB="0" distL="0" distR="0">
                  <wp:extent cx="373380" cy="379730"/>
                  <wp:effectExtent l="0" t="0" r="7620" b="1270"/>
                  <wp:docPr id="2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379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8" w:type="dxa"/>
            <w:gridSpan w:val="8"/>
            <w:tcBorders>
              <w:bottom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中国建筑  管理表格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30" w:hRule="atLeast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lang w:val="fr-FR"/>
              </w:rPr>
            </w:pPr>
          </w:p>
        </w:tc>
        <w:tc>
          <w:tcPr>
            <w:tcW w:w="13468" w:type="dxa"/>
            <w:gridSpan w:val="8"/>
            <w:tcBorders>
              <w:top w:val="single" w:color="000000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分包单位资信能力评分表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1385" w:type="dxa"/>
            <w:gridSpan w:val="2"/>
            <w:tcBorders>
              <w:top w:val="single" w:color="auto" w:sz="12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项目名称:</w:t>
            </w:r>
          </w:p>
        </w:tc>
        <w:tc>
          <w:tcPr>
            <w:tcW w:w="583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分包工程：</w:t>
            </w:r>
          </w:p>
        </w:tc>
        <w:tc>
          <w:tcPr>
            <w:tcW w:w="5812" w:type="dxa"/>
            <w:gridSpan w:val="4"/>
            <w:tcBorders>
              <w:top w:val="single" w:color="auto" w:sz="12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215" w:type="dxa"/>
            <w:gridSpan w:val="4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评价指标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分包单位名称</w:t>
            </w:r>
          </w:p>
          <w:p>
            <w:pPr>
              <w:snapToGrid w:val="0"/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B:</w:t>
            </w:r>
          </w:p>
          <w:p>
            <w:pPr>
              <w:pStyle w:val="2"/>
              <w:snapToGrid w:val="0"/>
              <w:spacing w:before="100" w:beforeAutospacing="1" w:after="100" w:afterAutospacing="1" w:line="360" w:lineRule="exact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</w:rPr>
              <w:t>C:</w:t>
            </w:r>
          </w:p>
          <w:p>
            <w:pPr>
              <w:snapToGrid w:val="0"/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D:</w:t>
            </w:r>
          </w:p>
          <w:p>
            <w:pPr>
              <w:snapToGrid w:val="0"/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E</w:t>
            </w:r>
            <w:r>
              <w:rPr>
                <w:rFonts w:ascii="宋体" w:hAnsi="宋体"/>
                <w:sz w:val="20"/>
                <w:szCs w:val="20"/>
              </w:rPr>
              <w:t>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7215" w:type="dxa"/>
            <w:gridSpan w:val="4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100" w:beforeAutospacing="1" w:after="100" w:afterAutospacing="1" w:line="360" w:lineRule="exact"/>
              <w:jc w:val="center"/>
              <w:rPr>
                <w:rFonts w:hAnsi="宋体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2395" w:type="dxa"/>
            <w:gridSpan w:val="3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一、注册资本金（1</w:t>
            </w:r>
            <w:r>
              <w:rPr>
                <w:rFonts w:ascii="宋体" w:hAnsi="宋体"/>
                <w:sz w:val="20"/>
                <w:szCs w:val="20"/>
              </w:rPr>
              <w:t>0</w:t>
            </w:r>
            <w:r>
              <w:rPr>
                <w:rFonts w:hint="eastAsia" w:ascii="宋体" w:hAnsi="宋体"/>
                <w:sz w:val="20"/>
                <w:szCs w:val="20"/>
              </w:rPr>
              <w:t>分）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在5000万元以上得</w:t>
            </w:r>
            <w:r>
              <w:rPr>
                <w:rFonts w:ascii="宋体" w:hAnsi="宋体"/>
                <w:sz w:val="20"/>
                <w:szCs w:val="20"/>
              </w:rPr>
              <w:t>10</w:t>
            </w:r>
            <w:r>
              <w:rPr>
                <w:rFonts w:hint="eastAsia" w:ascii="宋体" w:hAnsi="宋体"/>
                <w:sz w:val="20"/>
                <w:szCs w:val="20"/>
              </w:rPr>
              <w:t>分；在1000-5000万元得</w:t>
            </w:r>
            <w:r>
              <w:rPr>
                <w:rFonts w:ascii="宋体" w:hAnsi="宋体"/>
                <w:sz w:val="20"/>
                <w:szCs w:val="20"/>
              </w:rPr>
              <w:t>8</w:t>
            </w:r>
            <w:r>
              <w:rPr>
                <w:rFonts w:hint="eastAsia" w:ascii="宋体" w:hAnsi="宋体"/>
                <w:sz w:val="20"/>
                <w:szCs w:val="20"/>
              </w:rPr>
              <w:t>分；200-1000万元得</w:t>
            </w:r>
            <w:r>
              <w:rPr>
                <w:rFonts w:ascii="宋体" w:hAnsi="宋体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sz w:val="20"/>
                <w:szCs w:val="20"/>
              </w:rPr>
              <w:t>分；小于200万元得3分。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2395" w:type="dxa"/>
            <w:gridSpan w:val="3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二、资质等级（</w:t>
            </w:r>
            <w:r>
              <w:rPr>
                <w:rFonts w:ascii="宋体" w:hAnsi="宋体"/>
                <w:sz w:val="20"/>
                <w:szCs w:val="20"/>
              </w:rPr>
              <w:t>20</w:t>
            </w:r>
            <w:r>
              <w:rPr>
                <w:rFonts w:hint="eastAsia" w:ascii="宋体" w:hAnsi="宋体"/>
                <w:sz w:val="20"/>
                <w:szCs w:val="20"/>
              </w:rPr>
              <w:t>分）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满足施工要求得</w:t>
            </w:r>
            <w:r>
              <w:rPr>
                <w:rFonts w:ascii="宋体" w:hAnsi="宋体"/>
                <w:sz w:val="20"/>
                <w:szCs w:val="20"/>
              </w:rPr>
              <w:t>20</w:t>
            </w:r>
            <w:r>
              <w:rPr>
                <w:rFonts w:hint="eastAsia" w:ascii="宋体" w:hAnsi="宋体"/>
                <w:sz w:val="20"/>
                <w:szCs w:val="20"/>
              </w:rPr>
              <w:t>分，否则不得分。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2395" w:type="dxa"/>
            <w:gridSpan w:val="3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三、证件有效性（</w:t>
            </w:r>
            <w:r>
              <w:rPr>
                <w:rFonts w:ascii="宋体" w:hAnsi="宋体"/>
                <w:sz w:val="20"/>
                <w:szCs w:val="20"/>
              </w:rPr>
              <w:t>20</w:t>
            </w:r>
            <w:r>
              <w:rPr>
                <w:rFonts w:hint="eastAsia" w:ascii="宋体" w:hAnsi="宋体"/>
                <w:sz w:val="20"/>
                <w:szCs w:val="20"/>
              </w:rPr>
              <w:t>分）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公司各证件是否合法、真实有效。各证件均合法、齐全并在有效期内得</w:t>
            </w:r>
            <w:r>
              <w:rPr>
                <w:rFonts w:ascii="宋体" w:hAnsi="宋体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sz w:val="20"/>
                <w:szCs w:val="20"/>
              </w:rPr>
              <w:t>0分，否则不得分。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2395" w:type="dxa"/>
            <w:gridSpan w:val="3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四、纳税人资格（</w:t>
            </w:r>
            <w:r>
              <w:rPr>
                <w:rFonts w:ascii="宋体" w:hAnsi="宋体"/>
                <w:sz w:val="20"/>
                <w:szCs w:val="20"/>
              </w:rPr>
              <w:t>20</w:t>
            </w:r>
            <w:r>
              <w:rPr>
                <w:rFonts w:hint="eastAsia" w:ascii="宋体" w:hAnsi="宋体"/>
                <w:sz w:val="20"/>
                <w:szCs w:val="20"/>
              </w:rPr>
              <w:t>分）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具备一般纳税人资格得</w:t>
            </w:r>
            <w:r>
              <w:rPr>
                <w:rFonts w:ascii="宋体" w:hAnsi="宋体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sz w:val="20"/>
                <w:szCs w:val="20"/>
              </w:rPr>
              <w:t>0分；否则不得分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95" w:type="dxa"/>
            <w:gridSpan w:val="3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五、资金实力（</w:t>
            </w:r>
            <w:r>
              <w:rPr>
                <w:rFonts w:ascii="宋体" w:hAnsi="宋体"/>
                <w:sz w:val="20"/>
                <w:szCs w:val="20"/>
              </w:rPr>
              <w:t>1</w:t>
            </w:r>
            <w:r>
              <w:rPr>
                <w:rFonts w:hint="eastAsia" w:ascii="宋体" w:hAnsi="宋体"/>
                <w:sz w:val="20"/>
                <w:szCs w:val="20"/>
              </w:rPr>
              <w:t>0分）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企业资金雄厚得</w:t>
            </w:r>
            <w:r>
              <w:rPr>
                <w:rFonts w:ascii="宋体" w:hAnsi="宋体"/>
                <w:sz w:val="20"/>
                <w:szCs w:val="20"/>
              </w:rPr>
              <w:t>10</w:t>
            </w:r>
            <w:r>
              <w:rPr>
                <w:rFonts w:hint="eastAsia" w:ascii="宋体" w:hAnsi="宋体"/>
                <w:sz w:val="20"/>
                <w:szCs w:val="20"/>
              </w:rPr>
              <w:t>分；资金水平处于行业平均水平得</w:t>
            </w:r>
            <w:r>
              <w:rPr>
                <w:rFonts w:ascii="宋体" w:hAnsi="宋体"/>
                <w:sz w:val="20"/>
                <w:szCs w:val="20"/>
              </w:rPr>
              <w:t>8</w:t>
            </w:r>
            <w:r>
              <w:rPr>
                <w:rFonts w:hint="eastAsia" w:ascii="宋体" w:hAnsi="宋体"/>
                <w:sz w:val="20"/>
                <w:szCs w:val="20"/>
              </w:rPr>
              <w:t>分；任一项低于行业平均水平得</w:t>
            </w:r>
            <w:r>
              <w:rPr>
                <w:rFonts w:ascii="宋体" w:hAnsi="宋体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sz w:val="20"/>
                <w:szCs w:val="20"/>
              </w:rPr>
              <w:t>分；资金与技术均低于行业平均水平不得分。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2395" w:type="dxa"/>
            <w:gridSpan w:val="3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六、诚信经营及社会责任履行（</w:t>
            </w:r>
            <w:r>
              <w:rPr>
                <w:rFonts w:ascii="宋体" w:hAnsi="宋体"/>
                <w:sz w:val="20"/>
                <w:szCs w:val="20"/>
              </w:rPr>
              <w:t>20</w:t>
            </w:r>
            <w:r>
              <w:rPr>
                <w:rFonts w:hint="eastAsia" w:ascii="宋体" w:hAnsi="宋体"/>
                <w:sz w:val="20"/>
                <w:szCs w:val="20"/>
              </w:rPr>
              <w:t>分）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1、企业诚信经营，良好履行社会责任，不存在强制执行案件以及失信行为的得</w:t>
            </w:r>
            <w:r>
              <w:rPr>
                <w:rFonts w:ascii="宋体" w:hAnsi="宋体"/>
                <w:sz w:val="20"/>
                <w:szCs w:val="20"/>
              </w:rPr>
              <w:t>15</w:t>
            </w:r>
            <w:r>
              <w:rPr>
                <w:rFonts w:hint="eastAsia" w:ascii="宋体" w:hAnsi="宋体"/>
                <w:sz w:val="20"/>
                <w:szCs w:val="20"/>
              </w:rPr>
              <w:t>分，否则不得分。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2395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2、提供诚信报告得</w:t>
            </w:r>
            <w:r>
              <w:rPr>
                <w:rFonts w:ascii="宋体" w:hAnsi="宋体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sz w:val="20"/>
                <w:szCs w:val="20"/>
              </w:rPr>
              <w:t>分，未提供不得分。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395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总分（百分制）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</w:tbl>
    <w:p>
      <w:pPr>
        <w:widowControl/>
        <w:jc w:val="left"/>
        <w:rPr>
          <w:rFonts w:hint="eastAsia" w:ascii="宋体" w:hAnsi="宋体"/>
          <w:sz w:val="10"/>
        </w:rPr>
      </w:pPr>
    </w:p>
    <w:p>
      <w:pPr>
        <w:widowControl/>
        <w:jc w:val="left"/>
        <w:rPr>
          <w:rFonts w:hint="eastAsia" w:ascii="宋体" w:hAnsi="宋体"/>
          <w:sz w:val="10"/>
        </w:rPr>
      </w:pPr>
    </w:p>
    <w:p>
      <w:pPr>
        <w:widowControl/>
        <w:jc w:val="left"/>
        <w:rPr>
          <w:rFonts w:hint="eastAsia" w:ascii="宋体" w:hAnsi="宋体"/>
          <w:sz w:val="10"/>
        </w:rPr>
      </w:pPr>
    </w:p>
    <w:tbl>
      <w:tblPr>
        <w:tblStyle w:val="7"/>
        <w:tblW w:w="1458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18"/>
        <w:gridCol w:w="267"/>
        <w:gridCol w:w="301"/>
        <w:gridCol w:w="5529"/>
        <w:gridCol w:w="1559"/>
        <w:gridCol w:w="1559"/>
        <w:gridCol w:w="1418"/>
        <w:gridCol w:w="1417"/>
        <w:gridCol w:w="141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98" w:hRule="exact"/>
        </w:trPr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drawing>
                <wp:inline distT="0" distB="0" distL="0" distR="0">
                  <wp:extent cx="373380" cy="379730"/>
                  <wp:effectExtent l="0" t="0" r="7620" b="1270"/>
                  <wp:docPr id="1027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4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379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8" w:type="dxa"/>
            <w:gridSpan w:val="8"/>
            <w:tcBorders>
              <w:bottom w:val="single" w:color="000000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中国建筑  管理表格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30" w:hRule="atLeast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lang w:val="fr-FR"/>
              </w:rPr>
            </w:pPr>
          </w:p>
        </w:tc>
        <w:tc>
          <w:tcPr>
            <w:tcW w:w="13468" w:type="dxa"/>
            <w:gridSpan w:val="8"/>
            <w:tcBorders>
              <w:top w:val="single" w:color="000000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分包单位施工能力评分表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</w:trPr>
        <w:tc>
          <w:tcPr>
            <w:tcW w:w="1385" w:type="dxa"/>
            <w:gridSpan w:val="2"/>
            <w:tcBorders>
              <w:top w:val="single" w:color="auto" w:sz="12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项目名称:</w:t>
            </w:r>
          </w:p>
        </w:tc>
        <w:tc>
          <w:tcPr>
            <w:tcW w:w="583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分包工程：</w:t>
            </w:r>
          </w:p>
        </w:tc>
        <w:tc>
          <w:tcPr>
            <w:tcW w:w="5812" w:type="dxa"/>
            <w:gridSpan w:val="4"/>
            <w:tcBorders>
              <w:top w:val="single" w:color="auto" w:sz="12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7215" w:type="dxa"/>
            <w:gridSpan w:val="4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评价指标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分包单位名称</w:t>
            </w:r>
          </w:p>
          <w:p>
            <w:pPr>
              <w:snapToGrid w:val="0"/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B:</w:t>
            </w:r>
          </w:p>
          <w:p>
            <w:pPr>
              <w:pStyle w:val="2"/>
              <w:snapToGrid w:val="0"/>
              <w:spacing w:before="100" w:beforeAutospacing="1" w:after="100" w:afterAutospacing="1" w:line="360" w:lineRule="exact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</w:rPr>
              <w:t>C:</w:t>
            </w:r>
          </w:p>
          <w:p>
            <w:pPr>
              <w:snapToGrid w:val="0"/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D:</w:t>
            </w:r>
          </w:p>
          <w:p>
            <w:pPr>
              <w:snapToGrid w:val="0"/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E</w:t>
            </w:r>
            <w:r>
              <w:rPr>
                <w:rFonts w:ascii="宋体" w:hAnsi="宋体"/>
                <w:sz w:val="20"/>
                <w:szCs w:val="20"/>
              </w:rPr>
              <w:t>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7215" w:type="dxa"/>
            <w:gridSpan w:val="4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100" w:beforeAutospacing="1" w:after="100" w:afterAutospacing="1" w:line="360" w:lineRule="exact"/>
              <w:jc w:val="center"/>
              <w:rPr>
                <w:rFonts w:hAnsi="宋体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一、具体目标及措施：（20分）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1、对总包的质量、安全、进度、文明施工的承诺(10分)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2、对分包工作范围和内容的熟悉程度(10分)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ind w:left="6192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二、公司管理人员组织架构及相应岗位证书(30分)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1、公司组织及体系：配备生产，技术，商务，安全，财务等专职管理人员（8分）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2、公司管理人员是否签订劳动合同并缴纳社保；（8分）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3、项目管理组织架构与总包的匹配性（8分）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4、班组化管理能力是否满足施工要求（6分）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三、工人工资支付（20分）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1、是否设立工人工资专用账户（10分）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2、是否建立建全与工程相匹配的工人工资支付台账（10分）</w:t>
            </w: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四、类似工程施工业绩（30分）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1、是否有类似工程项目施工业绩，类似工程项目规模及对应合同是否与本工程匹配（5分）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2、类似工程现场管理人员是否签订劳动合同并缴纳社保（5分）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3、管理人员资格证书是否满足要求（5分）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4、类似工程履约是否满足工期要求（5分）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5、类似工程质量是否获评优质结构（5分）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6、类似工程是否出现安全事故（5分）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五、加分项（5分）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1、与我司合作过类似工程且评价较好（5分）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总分（百分制）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</w:tbl>
    <w:p>
      <w:pPr>
        <w:spacing w:line="480" w:lineRule="auto"/>
        <w:rPr>
          <w:rFonts w:ascii="仿宋" w:hAnsi="仿宋" w:eastAsia="仿宋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AC"/>
    <w:rsid w:val="002413ED"/>
    <w:rsid w:val="0025689B"/>
    <w:rsid w:val="00281C8D"/>
    <w:rsid w:val="00285B0F"/>
    <w:rsid w:val="002927A4"/>
    <w:rsid w:val="002A71F5"/>
    <w:rsid w:val="002E4FE0"/>
    <w:rsid w:val="002E60C3"/>
    <w:rsid w:val="00357BFD"/>
    <w:rsid w:val="00546BC3"/>
    <w:rsid w:val="00593BB2"/>
    <w:rsid w:val="005E1EAB"/>
    <w:rsid w:val="005F6DF8"/>
    <w:rsid w:val="00677447"/>
    <w:rsid w:val="0068256B"/>
    <w:rsid w:val="006A5461"/>
    <w:rsid w:val="006D43B0"/>
    <w:rsid w:val="00711585"/>
    <w:rsid w:val="0096448B"/>
    <w:rsid w:val="00AE27AC"/>
    <w:rsid w:val="00C0369C"/>
    <w:rsid w:val="00C10B56"/>
    <w:rsid w:val="00C15C02"/>
    <w:rsid w:val="00D55554"/>
    <w:rsid w:val="00FC63A6"/>
    <w:rsid w:val="00FE7F67"/>
    <w:rsid w:val="19E3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adjustRightInd w:val="0"/>
      <w:spacing w:line="360" w:lineRule="atLeast"/>
      <w:textAlignment w:val="baseline"/>
    </w:pPr>
    <w:rPr>
      <w:rFonts w:ascii="宋体" w:hAnsi="Courier New"/>
      <w:kern w:val="0"/>
      <w:szCs w:val="20"/>
    </w:rPr>
  </w:style>
  <w:style w:type="paragraph" w:styleId="3">
    <w:name w:val="Balloon Text"/>
    <w:basedOn w:val="1"/>
    <w:link w:val="10"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="Cambria" w:hAnsi="Cambria" w:cs="宋体"/>
      <w:b/>
      <w:bCs/>
      <w:sz w:val="32"/>
      <w:szCs w:val="32"/>
    </w:rPr>
  </w:style>
  <w:style w:type="character" w:styleId="9">
    <w:name w:val="annotation reference"/>
    <w:qFormat/>
    <w:uiPriority w:val="99"/>
    <w:rPr>
      <w:sz w:val="21"/>
      <w:szCs w:val="21"/>
    </w:rPr>
  </w:style>
  <w:style w:type="character" w:customStyle="1" w:styleId="10">
    <w:name w:val="批注框文本 字符"/>
    <w:basedOn w:val="8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日期 字符"/>
    <w:basedOn w:val="8"/>
    <w:link w:val="2"/>
    <w:qFormat/>
    <w:uiPriority w:val="0"/>
    <w:rPr>
      <w:rFonts w:ascii="宋体" w:hAnsi="Courier New"/>
      <w:sz w:val="24"/>
    </w:rPr>
  </w:style>
  <w:style w:type="paragraph" w:customStyle="1" w:styleId="12">
    <w:name w:val="手册样式"/>
    <w:basedOn w:val="6"/>
    <w:qFormat/>
    <w:uiPriority w:val="0"/>
    <w:pPr>
      <w:snapToGrid w:val="0"/>
      <w:spacing w:before="100" w:beforeAutospacing="1" w:after="100" w:afterAutospacing="1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13">
    <w:name w:val="标题 字符"/>
    <w:basedOn w:val="8"/>
    <w:link w:val="6"/>
    <w:qFormat/>
    <w:uiPriority w:val="10"/>
    <w:rPr>
      <w:rFonts w:ascii="Cambria" w:hAnsi="Cambria" w:eastAsia="宋体" w:cs="宋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FDB6ED-39B3-4BB7-AA46-3434CC26B5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240</Words>
  <Characters>1369</Characters>
  <Lines>11</Lines>
  <Paragraphs>3</Paragraphs>
  <TotalTime>14</TotalTime>
  <ScaleCrop>false</ScaleCrop>
  <LinksUpToDate>false</LinksUpToDate>
  <CharactersWithSpaces>1606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2020-04-09T07:01:00Z</dcterms:created>
  <dc:creator>XZJD</dc:creator>
  <cp:lastModifiedBy>山有木兮木有枝</cp:lastModifiedBy>
  <cp:lastPrinted>2019-09-23T06:19:00Z</cp:lastPrinted>
  <dcterms:modified xsi:type="dcterms:W3CDTF">2020-04-20T00:50:27Z</dcterms:modified>
  <dc:title>_x0001_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